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single" w:color="DEDEDE" w:sz="36" w:space="11"/>
          <w:right w:val="none" w:color="auto" w:sz="0" w:space="0"/>
        </w:pBdr>
        <w:spacing w:line="555" w:lineRule="atLeast"/>
        <w:jc w:val="center"/>
        <w:rPr>
          <w:b w:val="0"/>
          <w:bCs w:val="0"/>
          <w:color w:val="0C66AD"/>
          <w:sz w:val="36"/>
          <w:szCs w:val="36"/>
        </w:rPr>
      </w:pPr>
      <w:r>
        <w:rPr>
          <w:b w:val="0"/>
          <w:bCs w:val="0"/>
          <w:color w:val="0C66AD"/>
          <w:sz w:val="36"/>
          <w:szCs w:val="36"/>
        </w:rPr>
        <w:t>我校12个项目获批2019年第一批教育部产学合作协同育人项目立项</w:t>
      </w:r>
    </w:p>
    <w:p>
      <w:pPr>
        <w:pStyle w:val="3"/>
        <w:keepNext w:val="0"/>
        <w:keepLines w:val="0"/>
        <w:widowControl/>
        <w:suppressLineNumbers w:val="0"/>
        <w:spacing w:before="0" w:beforeAutospacing="1" w:after="0" w:afterAutospacing="1"/>
        <w:ind w:left="0" w:right="0"/>
        <w:rPr>
          <w:rFonts w:hint="eastAsia" w:ascii="微软雅黑" w:hAnsi="微软雅黑" w:eastAsia="微软雅黑" w:cs="微软雅黑"/>
          <w:vanish/>
          <w:color w:val="333333"/>
        </w:rPr>
      </w:pPr>
      <w:r>
        <w:rPr>
          <w:rFonts w:hint="eastAsia" w:ascii="微软雅黑" w:hAnsi="微软雅黑" w:eastAsia="微软雅黑" w:cs="微软雅黑"/>
          <w:vanish/>
        </w:rPr>
        <w:t>摄影：    通讯员：</w:t>
      </w:r>
      <w:bookmarkStart w:id="0" w:name="_GoBack"/>
      <w:bookmarkEnd w:id="0"/>
      <w:r>
        <w:rPr>
          <w:rFonts w:hint="eastAsia" w:ascii="微软雅黑" w:hAnsi="微软雅黑" w:eastAsia="微软雅黑" w:cs="微软雅黑"/>
          <w:vanish/>
          <w:shd w:val="clear" w:fill="FDFDFD"/>
        </w:rPr>
        <w:fldChar w:fldCharType="begin"/>
      </w:r>
      <w:r>
        <w:rPr>
          <w:rFonts w:hint="eastAsia" w:ascii="微软雅黑" w:hAnsi="微软雅黑" w:eastAsia="微软雅黑" w:cs="微软雅黑"/>
          <w:vanish/>
          <w:shd w:val="clear" w:fill="FDFDFD"/>
        </w:rPr>
        <w:instrText xml:space="preserve"> HYPERLINK "https://www.usst.edu.cn/2019/1220/c35a36150/javascript:void(0)" </w:instrText>
      </w:r>
      <w:r>
        <w:rPr>
          <w:rFonts w:hint="eastAsia" w:ascii="微软雅黑" w:hAnsi="微软雅黑" w:eastAsia="微软雅黑" w:cs="微软雅黑"/>
          <w:vanish/>
          <w:shd w:val="clear" w:fill="FDFDFD"/>
        </w:rPr>
        <w:fldChar w:fldCharType="separate"/>
      </w:r>
      <w:r>
        <w:rPr>
          <w:rStyle w:val="11"/>
          <w:rFonts w:hint="eastAsia" w:ascii="微软雅黑" w:hAnsi="微软雅黑" w:eastAsia="微软雅黑" w:cs="微软雅黑"/>
          <w:vanish/>
          <w:shd w:val="clear" w:fill="FDFDFD"/>
        </w:rPr>
        <w:t>A+</w:t>
      </w:r>
      <w:r>
        <w:rPr>
          <w:rFonts w:hint="eastAsia" w:ascii="微软雅黑" w:hAnsi="微软雅黑" w:eastAsia="微软雅黑" w:cs="微软雅黑"/>
          <w:vanish/>
          <w:shd w:val="clear" w:fill="FDFDFD"/>
        </w:rPr>
        <w:fldChar w:fldCharType="end"/>
      </w:r>
      <w:r>
        <w:rPr>
          <w:rFonts w:hint="eastAsia" w:ascii="微软雅黑" w:hAnsi="微软雅黑" w:eastAsia="微软雅黑" w:cs="微软雅黑"/>
          <w:vanish/>
          <w:color w:val="333333"/>
          <w:shd w:val="clear" w:fill="FDFDFD"/>
        </w:rPr>
        <w:t xml:space="preserve"> </w:t>
      </w:r>
      <w:r>
        <w:rPr>
          <w:rFonts w:hint="eastAsia" w:ascii="微软雅黑" w:hAnsi="微软雅黑" w:eastAsia="微软雅黑" w:cs="微软雅黑"/>
          <w:vanish/>
          <w:shd w:val="clear" w:fill="FDFDFD"/>
        </w:rPr>
        <w:fldChar w:fldCharType="begin"/>
      </w:r>
      <w:r>
        <w:rPr>
          <w:rFonts w:hint="eastAsia" w:ascii="微软雅黑" w:hAnsi="微软雅黑" w:eastAsia="微软雅黑" w:cs="微软雅黑"/>
          <w:vanish/>
          <w:shd w:val="clear" w:fill="FDFDFD"/>
        </w:rPr>
        <w:instrText xml:space="preserve"> HYPERLINK "https://www.usst.edu.cn/2019/1220/c35a36150/javascript:void(0)" </w:instrText>
      </w:r>
      <w:r>
        <w:rPr>
          <w:rFonts w:hint="eastAsia" w:ascii="微软雅黑" w:hAnsi="微软雅黑" w:eastAsia="微软雅黑" w:cs="微软雅黑"/>
          <w:vanish/>
          <w:shd w:val="clear" w:fill="FDFDFD"/>
        </w:rPr>
        <w:fldChar w:fldCharType="separate"/>
      </w:r>
      <w:r>
        <w:rPr>
          <w:rStyle w:val="11"/>
          <w:rFonts w:hint="eastAsia" w:ascii="微软雅黑" w:hAnsi="微软雅黑" w:eastAsia="微软雅黑" w:cs="微软雅黑"/>
          <w:vanish/>
          <w:shd w:val="clear" w:fill="FDFDFD"/>
        </w:rPr>
        <w:t>A-</w:t>
      </w:r>
      <w:r>
        <w:rPr>
          <w:rFonts w:hint="eastAsia" w:ascii="微软雅黑" w:hAnsi="微软雅黑" w:eastAsia="微软雅黑" w:cs="微软雅黑"/>
          <w:vanish/>
          <w:shd w:val="clear" w:fill="FDFDFD"/>
        </w:rPr>
        <w:fldChar w:fldCharType="end"/>
      </w:r>
      <w:r>
        <w:rPr>
          <w:rFonts w:hint="eastAsia" w:ascii="微软雅黑" w:hAnsi="微软雅黑" w:eastAsia="微软雅黑" w:cs="微软雅黑"/>
          <w:vanish/>
          <w:color w:val="333333"/>
          <w:shd w:val="clear" w:fill="FDFDFD"/>
        </w:rPr>
        <w:t xml:space="preserve"> </w:t>
      </w:r>
    </w:p>
    <w:p>
      <w:pPr>
        <w:pStyle w:val="3"/>
        <w:keepNext w:val="0"/>
        <w:keepLines w:val="0"/>
        <w:widowControl/>
        <w:suppressLineNumbers w:val="0"/>
        <w:spacing w:before="0" w:beforeAutospacing="1" w:after="150" w:afterAutospacing="0"/>
        <w:ind w:left="0" w:right="0"/>
        <w:rPr>
          <w:rFonts w:hint="eastAsia" w:ascii="微软雅黑" w:hAnsi="微软雅黑" w:eastAsia="微软雅黑" w:cs="微软雅黑"/>
          <w:vanish/>
          <w:color w:val="333333"/>
        </w:rPr>
      </w:pPr>
      <w:r>
        <w:rPr>
          <w:rFonts w:hint="eastAsia" w:ascii="微软雅黑" w:hAnsi="微软雅黑" w:eastAsia="微软雅黑" w:cs="微软雅黑"/>
          <w:vanish/>
          <w:shd w:val="clear" w:fill="FDFDFD"/>
        </w:rPr>
        <w:fldChar w:fldCharType="begin"/>
      </w:r>
      <w:r>
        <w:rPr>
          <w:rFonts w:hint="eastAsia" w:ascii="微软雅黑" w:hAnsi="微软雅黑" w:eastAsia="微软雅黑" w:cs="微软雅黑"/>
          <w:vanish/>
          <w:shd w:val="clear" w:fill="FDFDFD"/>
        </w:rPr>
        <w:instrText xml:space="preserve"> HYPERLINK "https://www.usst.edu.cn/2019/1220/c35a36150/javascript:void(0)" </w:instrText>
      </w:r>
      <w:r>
        <w:rPr>
          <w:rFonts w:hint="eastAsia" w:ascii="微软雅黑" w:hAnsi="微软雅黑" w:eastAsia="微软雅黑" w:cs="微软雅黑"/>
          <w:vanish/>
          <w:shd w:val="clear" w:fill="FDFDFD"/>
        </w:rPr>
        <w:fldChar w:fldCharType="separate"/>
      </w:r>
      <w:r>
        <w:rPr>
          <w:rStyle w:val="11"/>
          <w:rFonts w:hint="eastAsia" w:ascii="微软雅黑" w:hAnsi="微软雅黑" w:eastAsia="微软雅黑" w:cs="微软雅黑"/>
          <w:vanish/>
          <w:shd w:val="clear" w:fill="FDFDFD"/>
        </w:rPr>
        <w:t>夜晚模式</w:t>
      </w:r>
      <w:r>
        <w:rPr>
          <w:rFonts w:hint="eastAsia" w:ascii="微软雅黑" w:hAnsi="微软雅黑" w:eastAsia="微软雅黑" w:cs="微软雅黑"/>
          <w:vanish/>
          <w:shd w:val="clear" w:fill="FDFDFD"/>
        </w:rPr>
        <w:fldChar w:fldCharType="end"/>
      </w:r>
      <w:r>
        <w:rPr>
          <w:rFonts w:hint="eastAsia" w:ascii="微软雅黑" w:hAnsi="微软雅黑" w:eastAsia="微软雅黑" w:cs="微软雅黑"/>
          <w:vanish/>
          <w:color w:val="333333"/>
          <w:shd w:val="clear" w:fill="FDFDFD"/>
        </w:rPr>
        <w:t xml:space="preserve"> </w:t>
      </w:r>
    </w:p>
    <w:p>
      <w:pPr>
        <w:pStyle w:val="24"/>
        <w:keepNext w:val="0"/>
        <w:keepLines w:val="0"/>
        <w:widowControl/>
        <w:suppressLineNumbers w:val="0"/>
        <w:spacing w:before="0" w:beforeAutospacing="0" w:after="0" w:afterAutospacing="0"/>
        <w:ind w:left="60" w:right="60"/>
        <w:rPr>
          <w:color w:val="333333"/>
        </w:rPr>
      </w:pPr>
      <w:r>
        <w:rPr>
          <w:color w:val="333333"/>
        </w:rPr>
        <w:t>为贯彻落实《国务院办公厅关于深化高等学校创新创业教育改革的实施意见》（国办发〔2015〕36号）和《国务院办公厅关于深化产教融合的若干意见》（国办发〔2017〕95号）精神，深化产教融合、校企合作，教育部高教司组织有关企业支持高校共同开展产学合作协同育人项目。根据《教育部高等教育司关于公布有关企业支持的产学合作协同育人项目申报指南（2019年第一批）的函》要求，有关高校积极组织师生向企业提交项目申请，有关企业对申报项目进行了遴选并公布。我校共有12个项目获批立项。</w:t>
      </w:r>
    </w:p>
    <w:p>
      <w:pPr>
        <w:pStyle w:val="24"/>
        <w:keepNext w:val="0"/>
        <w:keepLines w:val="0"/>
        <w:widowControl/>
        <w:suppressLineNumbers w:val="0"/>
        <w:spacing w:before="0" w:beforeAutospacing="0" w:after="0" w:afterAutospacing="0"/>
        <w:ind w:left="60" w:right="60"/>
        <w:rPr>
          <w:color w:val="333333"/>
        </w:rPr>
      </w:pPr>
      <w:r>
        <w:rPr>
          <w:rFonts w:hint="eastAsia" w:ascii="微软雅黑" w:hAnsi="微软雅黑" w:eastAsia="微软雅黑" w:cs="微软雅黑"/>
          <w:color w:val="333333"/>
          <w:sz w:val="24"/>
          <w:szCs w:val="24"/>
        </w:rPr>
        <w:t>学校将继续推进产学合作育人项目建设，将企业产业需求融入人才培养环节，深化产教融合协同育人，切实提高人才培养质量。</w:t>
      </w:r>
    </w:p>
    <w:p>
      <w:pPr>
        <w:pStyle w:val="24"/>
        <w:keepNext w:val="0"/>
        <w:keepLines w:val="0"/>
        <w:widowControl/>
        <w:suppressLineNumbers w:val="0"/>
        <w:spacing w:before="0" w:beforeAutospacing="0" w:after="0" w:afterAutospacing="0"/>
        <w:ind w:left="60" w:right="60"/>
        <w:rPr>
          <w:color w:val="333333"/>
        </w:rPr>
      </w:pPr>
      <w:r>
        <w:rPr>
          <w:color w:val="333333"/>
        </w:rPr>
        <w:t>具体名单附后。</w:t>
      </w:r>
    </w:p>
    <w:p>
      <w:pPr>
        <w:pStyle w:val="24"/>
        <w:keepNext w:val="0"/>
        <w:keepLines w:val="0"/>
        <w:widowControl/>
        <w:suppressLineNumbers w:val="0"/>
        <w:spacing w:before="0" w:beforeAutospacing="0" w:after="0" w:afterAutospacing="0"/>
        <w:ind w:left="60" w:right="60"/>
        <w:rPr>
          <w:color w:val="333333"/>
        </w:rPr>
      </w:pPr>
    </w:p>
    <w:p>
      <w:pPr>
        <w:pStyle w:val="3"/>
        <w:keepNext w:val="0"/>
        <w:keepLines w:val="0"/>
        <w:widowControl/>
        <w:suppressLineNumbers w:val="0"/>
        <w:spacing w:before="0" w:beforeAutospacing="0" w:after="0" w:afterAutospacing="0" w:line="26" w:lineRule="atLeast"/>
        <w:ind w:left="60" w:right="60"/>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2019年第一批教育部产学合作协同育人项目立项名单（上海理工大学）</w:t>
      </w:r>
    </w:p>
    <w:tbl>
      <w:tblPr>
        <w:tblStyle w:val="4"/>
        <w:tblW w:w="5000" w:type="pct"/>
        <w:tblCellSpacing w:w="0" w:type="dxa"/>
        <w:tblInd w:w="7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75" w:type="dxa"/>
          <w:left w:w="75" w:type="dxa"/>
          <w:bottom w:w="75" w:type="dxa"/>
          <w:right w:w="75" w:type="dxa"/>
        </w:tblCellMar>
      </w:tblPr>
      <w:tblGrid>
        <w:gridCol w:w="2019"/>
        <w:gridCol w:w="1081"/>
        <w:gridCol w:w="1187"/>
        <w:gridCol w:w="570"/>
        <w:gridCol w:w="2807"/>
        <w:gridCol w:w="9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75" w:type="dxa"/>
            <w:left w:w="75" w:type="dxa"/>
            <w:bottom w:w="75" w:type="dxa"/>
            <w:right w:w="75" w:type="dxa"/>
          </w:tblCellMar>
        </w:tblPrEx>
        <w:trPr>
          <w:tblCellSpacing w:w="0" w:type="dxa"/>
        </w:trPr>
        <w:tc>
          <w:tcPr>
            <w:tcW w:w="0" w:type="auto"/>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ascii="Arial" w:hAnsi="Arial" w:eastAsia="微软雅黑" w:cs="Arial"/>
                <w:color w:val="333333"/>
                <w:sz w:val="26"/>
                <w:szCs w:val="26"/>
              </w:rPr>
            </w:pPr>
            <w:r>
              <w:rPr>
                <w:rFonts w:hint="default" w:ascii="Arial" w:hAnsi="Arial" w:eastAsia="微软雅黑" w:cs="Arial"/>
                <w:color w:val="333333"/>
                <w:kern w:val="0"/>
                <w:sz w:val="26"/>
                <w:szCs w:val="26"/>
                <w:lang w:val="en-US" w:eastAsia="zh-CN" w:bidi="ar"/>
              </w:rPr>
              <w:t>项目编号</w:t>
            </w:r>
          </w:p>
        </w:tc>
        <w:tc>
          <w:tcPr>
            <w:tcW w:w="1200"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学 院</w:t>
            </w:r>
          </w:p>
        </w:tc>
        <w:tc>
          <w:tcPr>
            <w:tcW w:w="1275"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公司名称</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项目类型</w:t>
            </w:r>
          </w:p>
        </w:tc>
        <w:tc>
          <w:tcPr>
            <w:tcW w:w="3270"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项目名称</w:t>
            </w:r>
          </w:p>
        </w:tc>
        <w:tc>
          <w:tcPr>
            <w:tcW w:w="1065"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项目负责人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5" w:type="dxa"/>
            <w:left w:w="75" w:type="dxa"/>
            <w:bottom w:w="75" w:type="dxa"/>
            <w:right w:w="75" w:type="dxa"/>
          </w:tblCellMar>
        </w:tblPrEx>
        <w:trPr>
          <w:tblCellSpacing w:w="0" w:type="dxa"/>
        </w:trPr>
        <w:tc>
          <w:tcPr>
            <w:tcW w:w="0" w:type="auto"/>
            <w:vMerge w:val="restart"/>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201901054032</w:t>
            </w:r>
          </w:p>
        </w:tc>
        <w:tc>
          <w:tcPr>
            <w:tcW w:w="1200" w:type="dxa"/>
            <w:vMerge w:val="restart"/>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能动学院</w:t>
            </w:r>
          </w:p>
        </w:tc>
        <w:tc>
          <w:tcPr>
            <w:tcW w:w="1275" w:type="dxa"/>
            <w:vMerge w:val="restart"/>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北京象新力科技有限公司</w:t>
            </w:r>
          </w:p>
        </w:tc>
        <w:tc>
          <w:tcPr>
            <w:tcW w:w="0" w:type="auto"/>
            <w:vMerge w:val="restart"/>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实践条件和实践基地建设</w:t>
            </w:r>
          </w:p>
        </w:tc>
        <w:tc>
          <w:tcPr>
            <w:tcW w:w="3270" w:type="dxa"/>
            <w:vMerge w:val="restart"/>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制冷用壳管式换热器结构和工作过程虚拟仿真</w:t>
            </w:r>
          </w:p>
        </w:tc>
        <w:tc>
          <w:tcPr>
            <w:tcW w:w="1065" w:type="dxa"/>
            <w:vMerge w:val="restart"/>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赵巍</w:t>
            </w:r>
          </w:p>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张华</w:t>
            </w:r>
          </w:p>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盛健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5" w:type="dxa"/>
            <w:left w:w="75" w:type="dxa"/>
            <w:bottom w:w="75" w:type="dxa"/>
            <w:right w:w="75" w:type="dxa"/>
          </w:tblCellMar>
        </w:tblPrEx>
        <w:trPr>
          <w:tblCellSpacing w:w="0" w:type="dxa"/>
        </w:trPr>
        <w:tc>
          <w:tcPr>
            <w:tcW w:w="0" w:type="auto"/>
            <w:vMerge w:val="continue"/>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jc w:val="center"/>
              <w:rPr>
                <w:rFonts w:hint="default" w:ascii="Arial" w:hAnsi="Arial" w:eastAsia="微软雅黑" w:cs="Arial"/>
                <w:color w:val="333333"/>
                <w:sz w:val="26"/>
                <w:szCs w:val="26"/>
              </w:rPr>
            </w:pPr>
          </w:p>
        </w:tc>
        <w:tc>
          <w:tcPr>
            <w:tcW w:w="1200" w:type="dxa"/>
            <w:vMerge w:val="continue"/>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jc w:val="center"/>
              <w:rPr>
                <w:rFonts w:hint="default" w:ascii="Arial" w:hAnsi="Arial" w:eastAsia="微软雅黑" w:cs="Arial"/>
                <w:color w:val="333333"/>
                <w:sz w:val="26"/>
                <w:szCs w:val="26"/>
              </w:rPr>
            </w:pPr>
          </w:p>
        </w:tc>
        <w:tc>
          <w:tcPr>
            <w:tcW w:w="1275" w:type="dxa"/>
            <w:vMerge w:val="continue"/>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jc w:val="center"/>
              <w:rPr>
                <w:rFonts w:hint="default" w:ascii="Arial" w:hAnsi="Arial" w:eastAsia="微软雅黑" w:cs="Arial"/>
                <w:color w:val="333333"/>
                <w:sz w:val="26"/>
                <w:szCs w:val="26"/>
              </w:rPr>
            </w:pPr>
          </w:p>
        </w:tc>
        <w:tc>
          <w:tcPr>
            <w:tcW w:w="0" w:type="auto"/>
            <w:vMerge w:val="continue"/>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jc w:val="center"/>
              <w:rPr>
                <w:rFonts w:hint="default" w:ascii="Arial" w:hAnsi="Arial" w:eastAsia="微软雅黑" w:cs="Arial"/>
                <w:color w:val="333333"/>
                <w:sz w:val="26"/>
                <w:szCs w:val="26"/>
              </w:rPr>
            </w:pPr>
          </w:p>
        </w:tc>
        <w:tc>
          <w:tcPr>
            <w:tcW w:w="3270" w:type="dxa"/>
            <w:vMerge w:val="continue"/>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jc w:val="center"/>
              <w:rPr>
                <w:rFonts w:hint="default" w:ascii="Arial" w:hAnsi="Arial" w:eastAsia="微软雅黑" w:cs="Arial"/>
                <w:color w:val="333333"/>
                <w:sz w:val="26"/>
                <w:szCs w:val="26"/>
              </w:rPr>
            </w:pPr>
          </w:p>
        </w:tc>
        <w:tc>
          <w:tcPr>
            <w:tcW w:w="1065" w:type="dxa"/>
            <w:vMerge w:val="continue"/>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jc w:val="center"/>
              <w:rPr>
                <w:rFonts w:hint="default" w:ascii="Arial" w:hAnsi="Arial" w:eastAsia="微软雅黑" w:cs="Arial"/>
                <w:color w:val="333333"/>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5" w:type="dxa"/>
            <w:left w:w="75" w:type="dxa"/>
            <w:bottom w:w="75" w:type="dxa"/>
            <w:right w:w="75" w:type="dxa"/>
          </w:tblCellMar>
        </w:tblPrEx>
        <w:trPr>
          <w:tblCellSpacing w:w="0" w:type="dxa"/>
        </w:trPr>
        <w:tc>
          <w:tcPr>
            <w:tcW w:w="0" w:type="auto"/>
            <w:vMerge w:val="continue"/>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jc w:val="center"/>
              <w:rPr>
                <w:rFonts w:hint="default" w:ascii="Arial" w:hAnsi="Arial" w:eastAsia="微软雅黑" w:cs="Arial"/>
                <w:color w:val="333333"/>
                <w:sz w:val="26"/>
                <w:szCs w:val="26"/>
              </w:rPr>
            </w:pPr>
          </w:p>
        </w:tc>
        <w:tc>
          <w:tcPr>
            <w:tcW w:w="1200" w:type="dxa"/>
            <w:vMerge w:val="continue"/>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jc w:val="center"/>
              <w:rPr>
                <w:rFonts w:hint="default" w:ascii="Arial" w:hAnsi="Arial" w:eastAsia="微软雅黑" w:cs="Arial"/>
                <w:color w:val="333333"/>
                <w:sz w:val="26"/>
                <w:szCs w:val="26"/>
              </w:rPr>
            </w:pPr>
          </w:p>
        </w:tc>
        <w:tc>
          <w:tcPr>
            <w:tcW w:w="1275" w:type="dxa"/>
            <w:vMerge w:val="continue"/>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jc w:val="center"/>
              <w:rPr>
                <w:rFonts w:hint="default" w:ascii="Arial" w:hAnsi="Arial" w:eastAsia="微软雅黑" w:cs="Arial"/>
                <w:color w:val="333333"/>
                <w:sz w:val="26"/>
                <w:szCs w:val="26"/>
              </w:rPr>
            </w:pPr>
          </w:p>
        </w:tc>
        <w:tc>
          <w:tcPr>
            <w:tcW w:w="0" w:type="auto"/>
            <w:vMerge w:val="continue"/>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jc w:val="center"/>
              <w:rPr>
                <w:rFonts w:hint="default" w:ascii="Arial" w:hAnsi="Arial" w:eastAsia="微软雅黑" w:cs="Arial"/>
                <w:color w:val="333333"/>
                <w:sz w:val="26"/>
                <w:szCs w:val="26"/>
              </w:rPr>
            </w:pPr>
          </w:p>
        </w:tc>
        <w:tc>
          <w:tcPr>
            <w:tcW w:w="3270" w:type="dxa"/>
            <w:vMerge w:val="continue"/>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jc w:val="center"/>
              <w:rPr>
                <w:rFonts w:hint="default" w:ascii="Arial" w:hAnsi="Arial" w:eastAsia="微软雅黑" w:cs="Arial"/>
                <w:color w:val="333333"/>
                <w:sz w:val="26"/>
                <w:szCs w:val="26"/>
              </w:rPr>
            </w:pPr>
          </w:p>
        </w:tc>
        <w:tc>
          <w:tcPr>
            <w:tcW w:w="1065" w:type="dxa"/>
            <w:vMerge w:val="continue"/>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jc w:val="center"/>
              <w:rPr>
                <w:rFonts w:hint="default" w:ascii="Arial" w:hAnsi="Arial" w:eastAsia="微软雅黑" w:cs="Arial"/>
                <w:color w:val="333333"/>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5" w:type="dxa"/>
            <w:left w:w="75" w:type="dxa"/>
            <w:bottom w:w="75" w:type="dxa"/>
            <w:right w:w="75" w:type="dxa"/>
          </w:tblCellMar>
        </w:tblPrEx>
        <w:trPr>
          <w:tblCellSpacing w:w="0" w:type="dxa"/>
        </w:trPr>
        <w:tc>
          <w:tcPr>
            <w:tcW w:w="0" w:type="auto"/>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201901002005</w:t>
            </w:r>
          </w:p>
        </w:tc>
        <w:tc>
          <w:tcPr>
            <w:tcW w:w="1200"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光电学院</w:t>
            </w:r>
          </w:p>
        </w:tc>
        <w:tc>
          <w:tcPr>
            <w:tcW w:w="1275"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艾默生过程控制有限公司</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实践条件和实践基地建设</w:t>
            </w:r>
          </w:p>
        </w:tc>
        <w:tc>
          <w:tcPr>
            <w:tcW w:w="3270"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共建“上理-艾默生联合实验室”提高学生创新和工程实践能力</w:t>
            </w:r>
          </w:p>
        </w:tc>
        <w:tc>
          <w:tcPr>
            <w:tcW w:w="1065"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沈昱明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5" w:type="dxa"/>
            <w:left w:w="75" w:type="dxa"/>
            <w:bottom w:w="75" w:type="dxa"/>
            <w:right w:w="75" w:type="dxa"/>
          </w:tblCellMar>
        </w:tblPrEx>
        <w:trPr>
          <w:tblCellSpacing w:w="0" w:type="dxa"/>
        </w:trPr>
        <w:tc>
          <w:tcPr>
            <w:tcW w:w="0" w:type="auto"/>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201901086004</w:t>
            </w:r>
          </w:p>
        </w:tc>
        <w:tc>
          <w:tcPr>
            <w:tcW w:w="1200"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光电学院</w:t>
            </w:r>
          </w:p>
        </w:tc>
        <w:tc>
          <w:tcPr>
            <w:tcW w:w="1275"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德州仪器半导体技术（上海）有限公司</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教学内容和课程体系改革</w:t>
            </w:r>
          </w:p>
        </w:tc>
        <w:tc>
          <w:tcPr>
            <w:tcW w:w="3270"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基于TI的嵌入式及模拟实验平台开发</w:t>
            </w:r>
          </w:p>
        </w:tc>
        <w:tc>
          <w:tcPr>
            <w:tcW w:w="1065"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杨晖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5" w:type="dxa"/>
            <w:left w:w="75" w:type="dxa"/>
            <w:bottom w:w="75" w:type="dxa"/>
            <w:right w:w="75" w:type="dxa"/>
          </w:tblCellMar>
        </w:tblPrEx>
        <w:trPr>
          <w:tblCellSpacing w:w="0" w:type="dxa"/>
        </w:trPr>
        <w:tc>
          <w:tcPr>
            <w:tcW w:w="0" w:type="auto"/>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201901198036</w:t>
            </w:r>
          </w:p>
        </w:tc>
        <w:tc>
          <w:tcPr>
            <w:tcW w:w="1200"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光电学院</w:t>
            </w:r>
          </w:p>
        </w:tc>
        <w:tc>
          <w:tcPr>
            <w:tcW w:w="1275"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上海恩艾仪器有限公司</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实践条件和实践基地建设</w:t>
            </w:r>
          </w:p>
        </w:tc>
        <w:tc>
          <w:tcPr>
            <w:tcW w:w="3270"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基于NI平台的虚拟仿真实验室建设</w:t>
            </w:r>
          </w:p>
        </w:tc>
        <w:tc>
          <w:tcPr>
            <w:tcW w:w="1065"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杨晖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5" w:type="dxa"/>
            <w:left w:w="75" w:type="dxa"/>
            <w:bottom w:w="75" w:type="dxa"/>
            <w:right w:w="75" w:type="dxa"/>
          </w:tblCellMar>
        </w:tblPrEx>
        <w:trPr>
          <w:tblCellSpacing w:w="0" w:type="dxa"/>
        </w:trPr>
        <w:tc>
          <w:tcPr>
            <w:tcW w:w="0" w:type="auto"/>
            <w:vMerge w:val="restart"/>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201901202017</w:t>
            </w:r>
          </w:p>
        </w:tc>
        <w:tc>
          <w:tcPr>
            <w:tcW w:w="1200" w:type="dxa"/>
            <w:vMerge w:val="restart"/>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机械学院</w:t>
            </w:r>
          </w:p>
        </w:tc>
        <w:tc>
          <w:tcPr>
            <w:tcW w:w="1275" w:type="dxa"/>
            <w:vMerge w:val="restart"/>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上海和盛前沿科技有限公司</w:t>
            </w:r>
          </w:p>
        </w:tc>
        <w:tc>
          <w:tcPr>
            <w:tcW w:w="0" w:type="auto"/>
            <w:vMerge w:val="restart"/>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实践条件和实践基地建设</w:t>
            </w:r>
          </w:p>
        </w:tc>
        <w:tc>
          <w:tcPr>
            <w:tcW w:w="3270" w:type="dxa"/>
            <w:vMerge w:val="restart"/>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大学生工程实践创新能力培养研究</w:t>
            </w:r>
          </w:p>
        </w:tc>
        <w:tc>
          <w:tcPr>
            <w:tcW w:w="1065" w:type="dxa"/>
            <w:vMerge w:val="restart"/>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钱炜</w:t>
            </w:r>
          </w:p>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吴恩启</w:t>
            </w:r>
          </w:p>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江小辉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75" w:type="dxa"/>
            <w:left w:w="75" w:type="dxa"/>
            <w:bottom w:w="75" w:type="dxa"/>
            <w:right w:w="75" w:type="dxa"/>
          </w:tblCellMar>
        </w:tblPrEx>
        <w:trPr>
          <w:tblCellSpacing w:w="0" w:type="dxa"/>
        </w:trPr>
        <w:tc>
          <w:tcPr>
            <w:tcW w:w="0" w:type="auto"/>
            <w:vMerge w:val="continue"/>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jc w:val="center"/>
              <w:rPr>
                <w:rFonts w:hint="default" w:ascii="Arial" w:hAnsi="Arial" w:eastAsia="微软雅黑" w:cs="Arial"/>
                <w:color w:val="333333"/>
                <w:sz w:val="26"/>
                <w:szCs w:val="26"/>
              </w:rPr>
            </w:pPr>
          </w:p>
        </w:tc>
        <w:tc>
          <w:tcPr>
            <w:tcW w:w="1200" w:type="dxa"/>
            <w:vMerge w:val="continue"/>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jc w:val="center"/>
              <w:rPr>
                <w:rFonts w:hint="default" w:ascii="Arial" w:hAnsi="Arial" w:eastAsia="微软雅黑" w:cs="Arial"/>
                <w:color w:val="333333"/>
                <w:sz w:val="26"/>
                <w:szCs w:val="26"/>
              </w:rPr>
            </w:pPr>
          </w:p>
        </w:tc>
        <w:tc>
          <w:tcPr>
            <w:tcW w:w="1275" w:type="dxa"/>
            <w:vMerge w:val="continue"/>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jc w:val="center"/>
              <w:rPr>
                <w:rFonts w:hint="default" w:ascii="Arial" w:hAnsi="Arial" w:eastAsia="微软雅黑" w:cs="Arial"/>
                <w:color w:val="333333"/>
                <w:sz w:val="26"/>
                <w:szCs w:val="26"/>
              </w:rPr>
            </w:pPr>
          </w:p>
        </w:tc>
        <w:tc>
          <w:tcPr>
            <w:tcW w:w="0" w:type="auto"/>
            <w:vMerge w:val="continue"/>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jc w:val="center"/>
              <w:rPr>
                <w:rFonts w:hint="default" w:ascii="Arial" w:hAnsi="Arial" w:eastAsia="微软雅黑" w:cs="Arial"/>
                <w:color w:val="333333"/>
                <w:sz w:val="26"/>
                <w:szCs w:val="26"/>
              </w:rPr>
            </w:pPr>
          </w:p>
        </w:tc>
        <w:tc>
          <w:tcPr>
            <w:tcW w:w="3270" w:type="dxa"/>
            <w:vMerge w:val="continue"/>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jc w:val="center"/>
              <w:rPr>
                <w:rFonts w:hint="default" w:ascii="Arial" w:hAnsi="Arial" w:eastAsia="微软雅黑" w:cs="Arial"/>
                <w:color w:val="333333"/>
                <w:sz w:val="26"/>
                <w:szCs w:val="26"/>
              </w:rPr>
            </w:pPr>
          </w:p>
        </w:tc>
        <w:tc>
          <w:tcPr>
            <w:tcW w:w="1065" w:type="dxa"/>
            <w:vMerge w:val="continue"/>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jc w:val="center"/>
              <w:rPr>
                <w:rFonts w:hint="default" w:ascii="Arial" w:hAnsi="Arial" w:eastAsia="微软雅黑" w:cs="Arial"/>
                <w:color w:val="333333"/>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5" w:type="dxa"/>
            <w:left w:w="75" w:type="dxa"/>
            <w:bottom w:w="75" w:type="dxa"/>
            <w:right w:w="75" w:type="dxa"/>
          </w:tblCellMar>
        </w:tblPrEx>
        <w:trPr>
          <w:tblCellSpacing w:w="0" w:type="dxa"/>
        </w:trPr>
        <w:tc>
          <w:tcPr>
            <w:tcW w:w="0" w:type="auto"/>
            <w:vMerge w:val="continue"/>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jc w:val="center"/>
              <w:rPr>
                <w:rFonts w:hint="default" w:ascii="Arial" w:hAnsi="Arial" w:eastAsia="微软雅黑" w:cs="Arial"/>
                <w:color w:val="333333"/>
                <w:sz w:val="26"/>
                <w:szCs w:val="26"/>
              </w:rPr>
            </w:pPr>
          </w:p>
        </w:tc>
        <w:tc>
          <w:tcPr>
            <w:tcW w:w="1200" w:type="dxa"/>
            <w:vMerge w:val="continue"/>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jc w:val="center"/>
              <w:rPr>
                <w:rFonts w:hint="default" w:ascii="Arial" w:hAnsi="Arial" w:eastAsia="微软雅黑" w:cs="Arial"/>
                <w:color w:val="333333"/>
                <w:sz w:val="26"/>
                <w:szCs w:val="26"/>
              </w:rPr>
            </w:pPr>
          </w:p>
        </w:tc>
        <w:tc>
          <w:tcPr>
            <w:tcW w:w="1275" w:type="dxa"/>
            <w:vMerge w:val="continue"/>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jc w:val="center"/>
              <w:rPr>
                <w:rFonts w:hint="default" w:ascii="Arial" w:hAnsi="Arial" w:eastAsia="微软雅黑" w:cs="Arial"/>
                <w:color w:val="333333"/>
                <w:sz w:val="26"/>
                <w:szCs w:val="26"/>
              </w:rPr>
            </w:pPr>
          </w:p>
        </w:tc>
        <w:tc>
          <w:tcPr>
            <w:tcW w:w="0" w:type="auto"/>
            <w:vMerge w:val="continue"/>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jc w:val="center"/>
              <w:rPr>
                <w:rFonts w:hint="default" w:ascii="Arial" w:hAnsi="Arial" w:eastAsia="微软雅黑" w:cs="Arial"/>
                <w:color w:val="333333"/>
                <w:sz w:val="26"/>
                <w:szCs w:val="26"/>
              </w:rPr>
            </w:pPr>
          </w:p>
        </w:tc>
        <w:tc>
          <w:tcPr>
            <w:tcW w:w="3270" w:type="dxa"/>
            <w:vMerge w:val="continue"/>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jc w:val="center"/>
              <w:rPr>
                <w:rFonts w:hint="default" w:ascii="Arial" w:hAnsi="Arial" w:eastAsia="微软雅黑" w:cs="Arial"/>
                <w:color w:val="333333"/>
                <w:sz w:val="26"/>
                <w:szCs w:val="26"/>
              </w:rPr>
            </w:pPr>
          </w:p>
        </w:tc>
        <w:tc>
          <w:tcPr>
            <w:tcW w:w="1065" w:type="dxa"/>
            <w:vMerge w:val="continue"/>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jc w:val="center"/>
              <w:rPr>
                <w:rFonts w:hint="default" w:ascii="Arial" w:hAnsi="Arial" w:eastAsia="微软雅黑" w:cs="Arial"/>
                <w:color w:val="333333"/>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75" w:type="dxa"/>
            <w:left w:w="75" w:type="dxa"/>
            <w:bottom w:w="75" w:type="dxa"/>
            <w:right w:w="75" w:type="dxa"/>
          </w:tblCellMar>
        </w:tblPrEx>
        <w:trPr>
          <w:tblCellSpacing w:w="0" w:type="dxa"/>
        </w:trPr>
        <w:tc>
          <w:tcPr>
            <w:tcW w:w="0" w:type="auto"/>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201901067017</w:t>
            </w:r>
          </w:p>
        </w:tc>
        <w:tc>
          <w:tcPr>
            <w:tcW w:w="1200"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管理学院</w:t>
            </w:r>
          </w:p>
        </w:tc>
        <w:tc>
          <w:tcPr>
            <w:tcW w:w="1275"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北京智欣联创科技有限公司</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教学内容和课程体系改革</w:t>
            </w:r>
          </w:p>
        </w:tc>
        <w:tc>
          <w:tcPr>
            <w:tcW w:w="3270"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《生产与运作管理》课程体系改革与实践</w:t>
            </w:r>
          </w:p>
        </w:tc>
        <w:tc>
          <w:tcPr>
            <w:tcW w:w="1065"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刘勤明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75" w:type="dxa"/>
            <w:left w:w="75" w:type="dxa"/>
            <w:bottom w:w="75" w:type="dxa"/>
            <w:right w:w="75" w:type="dxa"/>
          </w:tblCellMar>
        </w:tblPrEx>
        <w:trPr>
          <w:tblCellSpacing w:w="0" w:type="dxa"/>
        </w:trPr>
        <w:tc>
          <w:tcPr>
            <w:tcW w:w="0" w:type="auto"/>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201901185008</w:t>
            </w:r>
          </w:p>
        </w:tc>
        <w:tc>
          <w:tcPr>
            <w:tcW w:w="1200"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外语学院</w:t>
            </w:r>
          </w:p>
        </w:tc>
        <w:tc>
          <w:tcPr>
            <w:tcW w:w="1275"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山东恒天阳光置业投资有限公司</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教学内容和课程体系改革</w:t>
            </w:r>
          </w:p>
        </w:tc>
        <w:tc>
          <w:tcPr>
            <w:tcW w:w="3270"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《科技英语阅读》课程体系建设</w:t>
            </w:r>
          </w:p>
        </w:tc>
        <w:tc>
          <w:tcPr>
            <w:tcW w:w="1065"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王勇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5" w:type="dxa"/>
            <w:left w:w="75" w:type="dxa"/>
            <w:bottom w:w="75" w:type="dxa"/>
            <w:right w:w="75" w:type="dxa"/>
          </w:tblCellMar>
        </w:tblPrEx>
        <w:trPr>
          <w:tblCellSpacing w:w="0" w:type="dxa"/>
        </w:trPr>
        <w:tc>
          <w:tcPr>
            <w:tcW w:w="0" w:type="auto"/>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201901018019</w:t>
            </w:r>
          </w:p>
        </w:tc>
        <w:tc>
          <w:tcPr>
            <w:tcW w:w="1200"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环建学院</w:t>
            </w:r>
          </w:p>
        </w:tc>
        <w:tc>
          <w:tcPr>
            <w:tcW w:w="1275"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北京和欣运达科技有限公司</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师资培训</w:t>
            </w:r>
          </w:p>
        </w:tc>
        <w:tc>
          <w:tcPr>
            <w:tcW w:w="3270"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新工科背景下建筑智能化师资培训项目</w:t>
            </w:r>
          </w:p>
        </w:tc>
        <w:tc>
          <w:tcPr>
            <w:tcW w:w="1065"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李奕霖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5" w:type="dxa"/>
            <w:left w:w="75" w:type="dxa"/>
            <w:bottom w:w="75" w:type="dxa"/>
            <w:right w:w="75" w:type="dxa"/>
          </w:tblCellMar>
        </w:tblPrEx>
        <w:trPr>
          <w:tblCellSpacing w:w="0" w:type="dxa"/>
        </w:trPr>
        <w:tc>
          <w:tcPr>
            <w:tcW w:w="0" w:type="auto"/>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201901191024</w:t>
            </w:r>
          </w:p>
        </w:tc>
        <w:tc>
          <w:tcPr>
            <w:tcW w:w="1200"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环建学院</w:t>
            </w:r>
          </w:p>
        </w:tc>
        <w:tc>
          <w:tcPr>
            <w:tcW w:w="1275"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山东瘦课网教育科技股份有限公司</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师资培训</w:t>
            </w:r>
          </w:p>
        </w:tc>
        <w:tc>
          <w:tcPr>
            <w:tcW w:w="3270"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绿色建筑复杂空调系统VR虚拟实践平台建设</w:t>
            </w:r>
          </w:p>
        </w:tc>
        <w:tc>
          <w:tcPr>
            <w:tcW w:w="1065"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王昕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75" w:type="dxa"/>
            <w:left w:w="75" w:type="dxa"/>
            <w:bottom w:w="75" w:type="dxa"/>
            <w:right w:w="75" w:type="dxa"/>
          </w:tblCellMar>
        </w:tblPrEx>
        <w:trPr>
          <w:tblCellSpacing w:w="0" w:type="dxa"/>
        </w:trPr>
        <w:tc>
          <w:tcPr>
            <w:tcW w:w="0" w:type="auto"/>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201901204024</w:t>
            </w:r>
          </w:p>
        </w:tc>
        <w:tc>
          <w:tcPr>
            <w:tcW w:w="1200"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环建学院</w:t>
            </w:r>
          </w:p>
        </w:tc>
        <w:tc>
          <w:tcPr>
            <w:tcW w:w="1275"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上海鲁班软件股份有限公司</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实践条件和实践基地建设</w:t>
            </w:r>
          </w:p>
        </w:tc>
        <w:tc>
          <w:tcPr>
            <w:tcW w:w="3270"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基于BIM技术的土木工程人才培养实践基地建设</w:t>
            </w:r>
          </w:p>
        </w:tc>
        <w:tc>
          <w:tcPr>
            <w:tcW w:w="1065"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饶平平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5" w:type="dxa"/>
            <w:left w:w="75" w:type="dxa"/>
            <w:bottom w:w="75" w:type="dxa"/>
            <w:right w:w="75" w:type="dxa"/>
          </w:tblCellMar>
        </w:tblPrEx>
        <w:trPr>
          <w:tblCellSpacing w:w="0" w:type="dxa"/>
        </w:trPr>
        <w:tc>
          <w:tcPr>
            <w:tcW w:w="0" w:type="auto"/>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201901230016</w:t>
            </w:r>
          </w:p>
        </w:tc>
        <w:tc>
          <w:tcPr>
            <w:tcW w:w="1200"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环建学院</w:t>
            </w:r>
          </w:p>
        </w:tc>
        <w:tc>
          <w:tcPr>
            <w:tcW w:w="1275"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深圳市中视典数字科技有限公司</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师资培训</w:t>
            </w:r>
          </w:p>
        </w:tc>
        <w:tc>
          <w:tcPr>
            <w:tcW w:w="3270"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绿色建筑空调系统VR虚拟实践平台技术培训</w:t>
            </w:r>
          </w:p>
        </w:tc>
        <w:tc>
          <w:tcPr>
            <w:tcW w:w="1065"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bottom"/>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王昕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5" w:type="dxa"/>
            <w:left w:w="75" w:type="dxa"/>
            <w:bottom w:w="75" w:type="dxa"/>
            <w:right w:w="75" w:type="dxa"/>
          </w:tblCellMar>
        </w:tblPrEx>
        <w:trPr>
          <w:tblCellSpacing w:w="0" w:type="dxa"/>
        </w:trPr>
        <w:tc>
          <w:tcPr>
            <w:tcW w:w="0" w:type="auto"/>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201901198035</w:t>
            </w:r>
          </w:p>
        </w:tc>
        <w:tc>
          <w:tcPr>
            <w:tcW w:w="1200"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中德学院</w:t>
            </w:r>
          </w:p>
        </w:tc>
        <w:tc>
          <w:tcPr>
            <w:tcW w:w="1275"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上海恩艾仪器有限公司</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实践条件和实践基地建设</w:t>
            </w:r>
          </w:p>
        </w:tc>
        <w:tc>
          <w:tcPr>
            <w:tcW w:w="3270"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keepNext w:val="0"/>
              <w:keepLines w:val="0"/>
              <w:widowControl/>
              <w:suppressLineNumbers w:val="0"/>
              <w:spacing w:line="15" w:lineRule="atLeast"/>
              <w:jc w:val="center"/>
              <w:rPr>
                <w:rFonts w:hint="default" w:ascii="Arial" w:hAnsi="Arial" w:eastAsia="微软雅黑" w:cs="Arial"/>
                <w:color w:val="333333"/>
                <w:sz w:val="26"/>
                <w:szCs w:val="26"/>
              </w:rPr>
            </w:pPr>
            <w:r>
              <w:rPr>
                <w:rFonts w:hint="eastAsia" w:ascii="微软雅黑" w:hAnsi="微软雅黑" w:eastAsia="微软雅黑" w:cs="微软雅黑"/>
                <w:color w:val="333333"/>
                <w:kern w:val="0"/>
                <w:sz w:val="24"/>
                <w:szCs w:val="24"/>
                <w:lang w:val="en-US" w:eastAsia="zh-CN" w:bidi="ar"/>
              </w:rPr>
              <w:t>预测性维护联合实验室</w:t>
            </w:r>
          </w:p>
        </w:tc>
        <w:tc>
          <w:tcPr>
            <w:tcW w:w="1065" w:type="dxa"/>
            <w:tcBorders>
              <w:top w:val="single" w:color="DDDDDD" w:sz="6" w:space="0"/>
              <w:left w:val="single" w:color="DDDDDD" w:sz="6" w:space="0"/>
              <w:bottom w:val="single" w:color="DDDDDD" w:sz="6" w:space="0"/>
              <w:right w:val="single" w:color="DDDDDD" w:sz="6" w:space="0"/>
            </w:tcBorders>
            <w:shd w:val="clear" w:color="auto" w:fill="FFFFFF"/>
            <w:tcMar>
              <w:left w:w="150" w:type="dxa"/>
              <w:right w:w="150" w:type="dxa"/>
            </w:tcMar>
            <w:vAlign w:val="center"/>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沈建强</w:t>
            </w:r>
          </w:p>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司呈勇</w:t>
            </w:r>
          </w:p>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周颖</w:t>
            </w:r>
          </w:p>
        </w:tc>
      </w:tr>
    </w:tbl>
    <w:p>
      <w:pPr>
        <w:pStyle w:val="24"/>
        <w:keepNext w:val="0"/>
        <w:keepLines w:val="0"/>
        <w:widowControl/>
        <w:suppressLineNumbers w:val="0"/>
        <w:spacing w:before="0" w:beforeAutospacing="0" w:after="0" w:afterAutospacing="0"/>
        <w:ind w:left="60" w:right="60"/>
        <w:rPr>
          <w:color w:val="333333"/>
        </w:rPr>
      </w:pPr>
    </w:p>
    <w:p>
      <w:pPr>
        <w:pStyle w:val="3"/>
        <w:keepNext w:val="0"/>
        <w:keepLines w:val="0"/>
        <w:widowControl/>
        <w:suppressLineNumbers w:val="0"/>
        <w:spacing w:before="0" w:beforeAutospacing="0" w:after="0" w:afterAutospacing="0" w:line="26" w:lineRule="atLeast"/>
        <w:ind w:left="60" w:right="60"/>
        <w:jc w:val="right"/>
        <w:rPr>
          <w:rFonts w:hint="eastAsia" w:ascii="微软雅黑" w:hAnsi="微软雅黑" w:eastAsia="微软雅黑" w:cs="微软雅黑"/>
          <w:sz w:val="24"/>
          <w:szCs w:val="24"/>
        </w:rPr>
      </w:pPr>
      <w:r>
        <w:rPr>
          <w:rFonts w:hint="eastAsia" w:ascii="微软雅黑" w:hAnsi="微软雅黑" w:eastAsia="微软雅黑" w:cs="微软雅黑"/>
          <w:sz w:val="24"/>
          <w:szCs w:val="24"/>
        </w:rPr>
        <w:t>供稿：教务处</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Georgia">
    <w:panose1 w:val="02040502050405020303"/>
    <w:charset w:val="00"/>
    <w:family w:val="auto"/>
    <w:pitch w:val="default"/>
    <w:sig w:usb0="00000287" w:usb1="00000000"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4F2956"/>
    <w:rsid w:val="2E4364F7"/>
    <w:rsid w:val="5AE600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24"/>
      <w:szCs w:val="24"/>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rFonts w:ascii="微软雅黑" w:hAnsi="微软雅黑" w:eastAsia="微软雅黑" w:cs="微软雅黑"/>
      <w:color w:val="333333"/>
      <w:kern w:val="0"/>
      <w:sz w:val="24"/>
      <w:lang w:val="en-US" w:eastAsia="zh-CN" w:bidi="ar"/>
    </w:rPr>
  </w:style>
  <w:style w:type="character" w:styleId="6">
    <w:name w:val="Strong"/>
    <w:basedOn w:val="5"/>
    <w:qFormat/>
    <w:uiPriority w:val="0"/>
    <w:rPr>
      <w:b/>
      <w:bCs/>
    </w:rPr>
  </w:style>
  <w:style w:type="character" w:styleId="7">
    <w:name w:val="FollowedHyperlink"/>
    <w:basedOn w:val="5"/>
    <w:qFormat/>
    <w:uiPriority w:val="0"/>
    <w:rPr>
      <w:color w:val="000000"/>
      <w:u w:val="none"/>
    </w:rPr>
  </w:style>
  <w:style w:type="character" w:styleId="8">
    <w:name w:val="Emphasis"/>
    <w:basedOn w:val="5"/>
    <w:qFormat/>
    <w:uiPriority w:val="0"/>
    <w:rPr>
      <w:b/>
      <w:bCs/>
    </w:rPr>
  </w:style>
  <w:style w:type="character" w:styleId="9">
    <w:name w:val="HTML Definition"/>
    <w:basedOn w:val="5"/>
    <w:qFormat/>
    <w:uiPriority w:val="0"/>
  </w:style>
  <w:style w:type="character" w:styleId="10">
    <w:name w:val="HTML Variable"/>
    <w:basedOn w:val="5"/>
    <w:qFormat/>
    <w:uiPriority w:val="0"/>
  </w:style>
  <w:style w:type="character" w:styleId="11">
    <w:name w:val="Hyperlink"/>
    <w:basedOn w:val="5"/>
    <w:uiPriority w:val="0"/>
    <w:rPr>
      <w:color w:val="000000"/>
      <w:u w:val="none"/>
    </w:rPr>
  </w:style>
  <w:style w:type="character" w:styleId="12">
    <w:name w:val="HTML Code"/>
    <w:basedOn w:val="5"/>
    <w:qFormat/>
    <w:uiPriority w:val="0"/>
    <w:rPr>
      <w:rFonts w:ascii="Courier New" w:hAnsi="Courier New"/>
      <w:sz w:val="20"/>
    </w:rPr>
  </w:style>
  <w:style w:type="character" w:styleId="13">
    <w:name w:val="HTML Cite"/>
    <w:basedOn w:val="5"/>
    <w:uiPriority w:val="0"/>
  </w:style>
  <w:style w:type="character" w:styleId="14">
    <w:name w:val="HTML Keyboard"/>
    <w:basedOn w:val="5"/>
    <w:uiPriority w:val="0"/>
    <w:rPr>
      <w:rFonts w:ascii="Courier New" w:hAnsi="Courier New"/>
      <w:sz w:val="20"/>
    </w:rPr>
  </w:style>
  <w:style w:type="character" w:styleId="15">
    <w:name w:val="HTML Sample"/>
    <w:basedOn w:val="5"/>
    <w:qFormat/>
    <w:uiPriority w:val="0"/>
    <w:rPr>
      <w:rFonts w:ascii="Courier New" w:hAnsi="Courier New"/>
    </w:rPr>
  </w:style>
  <w:style w:type="character" w:customStyle="1" w:styleId="16">
    <w:name w:val="pubdate-month"/>
    <w:basedOn w:val="5"/>
    <w:qFormat/>
    <w:uiPriority w:val="0"/>
    <w:rPr>
      <w:color w:val="FFFFFF"/>
      <w:sz w:val="24"/>
      <w:szCs w:val="24"/>
      <w:shd w:val="clear" w:fill="CC0000"/>
    </w:rPr>
  </w:style>
  <w:style w:type="character" w:customStyle="1" w:styleId="17">
    <w:name w:val="kbjc"/>
    <w:basedOn w:val="5"/>
    <w:uiPriority w:val="0"/>
  </w:style>
  <w:style w:type="character" w:customStyle="1" w:styleId="18">
    <w:name w:val="item-name"/>
    <w:basedOn w:val="5"/>
    <w:qFormat/>
    <w:uiPriority w:val="0"/>
  </w:style>
  <w:style w:type="character" w:customStyle="1" w:styleId="19">
    <w:name w:val="item-name1"/>
    <w:basedOn w:val="5"/>
    <w:uiPriority w:val="0"/>
  </w:style>
  <w:style w:type="character" w:customStyle="1" w:styleId="20">
    <w:name w:val="item-name2"/>
    <w:basedOn w:val="5"/>
    <w:uiPriority w:val="0"/>
  </w:style>
  <w:style w:type="character" w:customStyle="1" w:styleId="21">
    <w:name w:val="item-name3"/>
    <w:basedOn w:val="5"/>
    <w:qFormat/>
    <w:uiPriority w:val="0"/>
  </w:style>
  <w:style w:type="character" w:customStyle="1" w:styleId="22">
    <w:name w:val="item-name4"/>
    <w:basedOn w:val="5"/>
    <w:qFormat/>
    <w:uiPriority w:val="0"/>
  </w:style>
  <w:style w:type="character" w:customStyle="1" w:styleId="23">
    <w:name w:val="item-name5"/>
    <w:basedOn w:val="5"/>
    <w:qFormat/>
    <w:uiPriority w:val="0"/>
  </w:style>
  <w:style w:type="paragraph" w:customStyle="1" w:styleId="24">
    <w:name w:val="p_text_indent_2"/>
    <w:basedOn w:val="1"/>
    <w:qFormat/>
    <w:uiPriority w:val="0"/>
    <w:pPr>
      <w:ind w:firstLine="420"/>
      <w:jc w:val="left"/>
    </w:pPr>
    <w:rPr>
      <w:kern w:val="0"/>
      <w:lang w:val="en-US" w:eastAsia="zh-CN" w:bidi="ar"/>
    </w:rPr>
  </w:style>
  <w:style w:type="character" w:customStyle="1" w:styleId="25">
    <w:name w:val="pubdate-day"/>
    <w:basedOn w:val="5"/>
    <w:uiPriority w:val="0"/>
    <w:rPr>
      <w:shd w:val="clear" w:fill="F2F2F2"/>
    </w:rPr>
  </w:style>
  <w:style w:type="paragraph" w:customStyle="1" w:styleId="26">
    <w:name w:val="fbt"/>
    <w:basedOn w:val="1"/>
    <w:qFormat/>
    <w:uiPriority w:val="0"/>
    <w:pPr>
      <w:spacing w:line="525" w:lineRule="atLeast"/>
      <w:jc w:val="center"/>
    </w:pPr>
    <w:rPr>
      <w:kern w:val="0"/>
      <w:sz w:val="27"/>
      <w:szCs w:val="27"/>
      <w:lang w:val="en-US" w:eastAsia="zh-CN" w:bidi="ar"/>
    </w:rPr>
  </w:style>
  <w:style w:type="character" w:customStyle="1" w:styleId="27">
    <w:name w:val="jzyl_wjj"/>
    <w:basedOn w:val="5"/>
    <w:qFormat/>
    <w:uiPriority w:val="0"/>
    <w:rPr>
      <w:color w:val="FFFFFF"/>
      <w:sz w:val="18"/>
      <w:szCs w:val="18"/>
    </w:rPr>
  </w:style>
  <w:style w:type="character" w:customStyle="1" w:styleId="28">
    <w:name w:val="tzgg_lmbt"/>
    <w:basedOn w:val="5"/>
    <w:uiPriority w:val="0"/>
    <w:rPr>
      <w:b/>
      <w:bCs/>
      <w:sz w:val="33"/>
      <w:szCs w:val="33"/>
    </w:rPr>
  </w:style>
  <w:style w:type="character" w:customStyle="1" w:styleId="29">
    <w:name w:val="xysh_date"/>
    <w:basedOn w:val="5"/>
    <w:uiPriority w:val="0"/>
    <w:rPr>
      <w:rFonts w:ascii="Georgia" w:hAnsi="Georgia" w:eastAsia="Georgia" w:cs="Georgia"/>
      <w:color w:val="5C5C5C"/>
      <w:sz w:val="24"/>
      <w:szCs w:val="24"/>
    </w:rPr>
  </w:style>
  <w:style w:type="character" w:customStyle="1" w:styleId="30">
    <w:name w:val="wp_visitcount1"/>
    <w:basedOn w:val="5"/>
    <w:qFormat/>
    <w:uiPriority w:val="0"/>
    <w:rPr>
      <w:vanish/>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2021-04-28T05:56:00Z</dcterms:created>
  <dc:creator>DELL</dc:creator>
  <cp:lastModifiedBy>Administrator</cp:lastModifiedBy>
  <dcterms:modified xsi:type="dcterms:W3CDTF">2021-04-28T05:58:26Z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84C8557D510C45A3BDA19202FE325931</vt:lpwstr>
  </property>
</Properties>
</file>